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283"/>
        <w:gridCol w:w="3261"/>
        <w:gridCol w:w="2213"/>
        <w:gridCol w:w="36"/>
        <w:gridCol w:w="1294"/>
        <w:gridCol w:w="36"/>
        <w:gridCol w:w="633"/>
        <w:gridCol w:w="36"/>
        <w:gridCol w:w="713"/>
        <w:gridCol w:w="36"/>
      </w:tblGrid>
      <w:tr w:rsidR="00F779A3">
        <w:trPr>
          <w:cantSplit/>
        </w:trPr>
        <w:tc>
          <w:tcPr>
            <w:tcW w:w="9426" w:type="dxa"/>
            <w:gridSpan w:val="10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pStyle w:val="Titre7"/>
              <w:snapToGrid w:val="0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36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779A3">
        <w:trPr>
          <w:cantSplit/>
        </w:trPr>
        <w:tc>
          <w:tcPr>
            <w:tcW w:w="1204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 en finance d’entreprise</w:t>
            </w:r>
          </w:p>
        </w:tc>
        <w:tc>
          <w:tcPr>
            <w:tcW w:w="2213" w:type="dxa"/>
            <w:shd w:val="clear" w:color="auto" w:fill="auto"/>
          </w:tcPr>
          <w:p w:rsidR="00F779A3" w:rsidRDefault="00F779A3">
            <w:pPr>
              <w:snapToGrid w:val="0"/>
              <w:ind w:left="-69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Rennes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779A3">
        <w:trPr>
          <w:cantSplit/>
        </w:trPr>
        <w:tc>
          <w:tcPr>
            <w:tcW w:w="9426" w:type="dxa"/>
            <w:gridSpan w:val="10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pStyle w:val="Titre8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Projets SAP</w:t>
            </w:r>
          </w:p>
        </w:tc>
        <w:tc>
          <w:tcPr>
            <w:tcW w:w="36" w:type="dxa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1.3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4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Formation modules FI /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 France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 an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R/2 5.0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Mise en place du module R/2 de la gestion des projets (RK-P)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Pr="00783840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S.A.T groupe SAGEM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1993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  <w:lang w:val="en-GB"/>
              </w:rPr>
              <w:t>1 an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R/3 1.3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Formation de l’équipe de projet Finance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Mercedes Benz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Vitoria (Espagne)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3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2.2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Coordinateur et consultant senior FI /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Thomson </w:t>
            </w:r>
            <w:proofErr w:type="spellStart"/>
            <w:r>
              <w:rPr>
                <w:sz w:val="16"/>
                <w:szCs w:val="16"/>
              </w:rPr>
              <w:t>Multi-Média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Madrid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 an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2.2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Coordinateur et consultant senior FI /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Thomson </w:t>
            </w:r>
            <w:proofErr w:type="spellStart"/>
            <w:r>
              <w:rPr>
                <w:sz w:val="16"/>
                <w:szCs w:val="16"/>
              </w:rPr>
              <w:t>Multi-Média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2.2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Coordinateur et consultant senior FI /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Thomson </w:t>
            </w:r>
            <w:proofErr w:type="spellStart"/>
            <w:r>
              <w:rPr>
                <w:sz w:val="16"/>
                <w:szCs w:val="16"/>
              </w:rPr>
              <w:t>Multi-Média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Vienne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(Autriche)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2.2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Coordinateur et consultant senior FI /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Thomson </w:t>
            </w:r>
            <w:proofErr w:type="spellStart"/>
            <w:r>
              <w:rPr>
                <w:sz w:val="16"/>
                <w:szCs w:val="16"/>
              </w:rPr>
              <w:t>Multi-Média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Londres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 an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3.0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de projet finance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Alcatel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Saintes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3.0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de projet finance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Parke</w:t>
            </w:r>
            <w:proofErr w:type="spellEnd"/>
            <w:r>
              <w:rPr>
                <w:sz w:val="16"/>
                <w:szCs w:val="16"/>
              </w:rPr>
              <w:t>-Davis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2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3.0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de projet finance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HMR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2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3.1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4.6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finance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L'Oréal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Déploiement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  <w:p w:rsidR="00F779A3" w:rsidRDefault="00D6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2 ans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4.0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COPA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Elf Fina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3.1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Expert </w:t>
            </w:r>
            <w:proofErr w:type="spellStart"/>
            <w:r>
              <w:rPr>
                <w:sz w:val="16"/>
                <w:szCs w:val="16"/>
              </w:rPr>
              <w:t>Controlling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CEGETEL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1,5 </w:t>
            </w:r>
            <w:proofErr w:type="gramStart"/>
            <w:r>
              <w:rPr>
                <w:sz w:val="16"/>
                <w:szCs w:val="16"/>
              </w:rPr>
              <w:t>ans</w:t>
            </w:r>
            <w:proofErr w:type="gramEnd"/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4.6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THALES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4.6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CEGETEL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R/3 4.7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FI-AR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Wolters</w:t>
            </w:r>
            <w:proofErr w:type="spellEnd"/>
            <w:r>
              <w:rPr>
                <w:sz w:val="16"/>
                <w:szCs w:val="16"/>
              </w:rPr>
              <w:t xml:space="preserve"> Kluwer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 an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4.6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Saint </w:t>
            </w:r>
            <w:proofErr w:type="spellStart"/>
            <w:r>
              <w:rPr>
                <w:sz w:val="16"/>
                <w:szCs w:val="16"/>
              </w:rPr>
              <w:t>Gobain</w:t>
            </w:r>
            <w:proofErr w:type="spellEnd"/>
            <w:r>
              <w:rPr>
                <w:sz w:val="16"/>
                <w:szCs w:val="16"/>
              </w:rPr>
              <w:t xml:space="preserve"> Canalisation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Santander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4.7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CO-PA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NRJ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2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R/3 5.0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O-I Espagne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Barcelone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9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 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Hayes-</w:t>
            </w:r>
            <w:proofErr w:type="spellStart"/>
            <w:r>
              <w:rPr>
                <w:sz w:val="16"/>
                <w:szCs w:val="16"/>
              </w:rPr>
              <w:t>Lemmerz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Barcelone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 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Finance SAP Team leader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Thomson 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2 ans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 5.0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Omnium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2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 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distance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10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 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Applium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distance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3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Technicolor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12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Facilicom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1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Expert CO-PA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Viapost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5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Russe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 w:rsidRPr="00783840">
              <w:rPr>
                <w:sz w:val="16"/>
                <w:szCs w:val="16"/>
              </w:rPr>
              <w:t>Cours intensif de Russe en Russie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Université de St Petersbourg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Petersbourg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</w:pPr>
            <w:r>
              <w:rPr>
                <w:sz w:val="16"/>
                <w:szCs w:val="16"/>
              </w:rPr>
              <w:t>8 mois</w:t>
            </w:r>
          </w:p>
        </w:tc>
      </w:tr>
      <w:tr w:rsidR="0078384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783840" w:rsidRDefault="00783840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ECC6.0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83840" w:rsidRPr="00783840" w:rsidRDefault="00783840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FI-CO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83840" w:rsidRDefault="00783840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Mitel</w:t>
            </w:r>
            <w:proofErr w:type="spellEnd"/>
          </w:p>
        </w:tc>
        <w:tc>
          <w:tcPr>
            <w:tcW w:w="1330" w:type="dxa"/>
            <w:gridSpan w:val="2"/>
            <w:shd w:val="clear" w:color="auto" w:fill="auto"/>
          </w:tcPr>
          <w:p w:rsidR="00783840" w:rsidRDefault="0078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783840" w:rsidRDefault="0078384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783840" w:rsidRDefault="007838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an</w:t>
            </w:r>
          </w:p>
        </w:tc>
      </w:tr>
      <w:tr w:rsidR="00DB686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DB6861" w:rsidRDefault="00DB6861">
            <w:pPr>
              <w:snapToGri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ECC6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B6861" w:rsidRDefault="00DB6861">
            <w:pPr>
              <w:numPr>
                <w:ilvl w:val="0"/>
                <w:numId w:val="2"/>
              </w:numPr>
              <w:tabs>
                <w:tab w:val="left" w:pos="1594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FI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DB6861" w:rsidRDefault="00DB686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Liquide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B6861" w:rsidRDefault="00DB686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DB6861" w:rsidRDefault="00DB686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DB6861" w:rsidRDefault="00DB68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mois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62" w:type="dxa"/>
            <w:gridSpan w:val="11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pStyle w:val="Titre7"/>
              <w:snapToGrid w:val="0"/>
            </w:pPr>
            <w:r>
              <w:rPr>
                <w:sz w:val="24"/>
                <w:szCs w:val="24"/>
                <w:lang w:val="en-GB"/>
              </w:rPr>
              <w:t>Modules SAP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4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Comptabilité générale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FI-GL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Comptabilité clients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FI-AR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Comptabilité fournisseurs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FI-AP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Comptabilité bancaire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FI-BL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Controlling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Centres de coûts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CO-CCA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Ordres internes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CO-OPA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Centres de profit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CO-PCA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Compte de résultat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CO-PA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Immobilisations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FI-AM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Consolidation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FI-LC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Newl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Ledger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FI-NL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Financial </w:t>
            </w:r>
            <w:proofErr w:type="spellStart"/>
            <w:r>
              <w:rPr>
                <w:sz w:val="16"/>
                <w:szCs w:val="16"/>
              </w:rPr>
              <w:t>Supply</w:t>
            </w:r>
            <w:proofErr w:type="spellEnd"/>
            <w:r>
              <w:rPr>
                <w:sz w:val="16"/>
                <w:szCs w:val="16"/>
              </w:rPr>
              <w:t xml:space="preserve"> Chain Management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FSCM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D60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62" w:type="dxa"/>
            <w:gridSpan w:val="11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pStyle w:val="Titre7"/>
              <w:snapToGrid w:val="0"/>
            </w:pPr>
            <w:r>
              <w:rPr>
                <w:sz w:val="24"/>
                <w:szCs w:val="24"/>
              </w:rPr>
              <w:t>Divers</w:t>
            </w: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4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Anglais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Courant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Espagnol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Bilingue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Français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 maternelle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Russe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Moyen (B1)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numPr>
                <w:ilvl w:val="0"/>
                <w:numId w:val="6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Expérience internationale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pStyle w:val="Organisme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Madrid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ans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mois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Vienne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mois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Londres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mois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Manchester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Ponctuel sur 18 mois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Mexico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Ponctuel sur 1 an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Indianapolis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Ponctuel sur 1 an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779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21" w:type="dxa"/>
            <w:shd w:val="clear" w:color="auto" w:fill="auto"/>
          </w:tcPr>
          <w:p w:rsidR="00F779A3" w:rsidRDefault="00F779A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779A3" w:rsidRDefault="00D60C05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Saint Petersbourg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779A3" w:rsidRDefault="00D60C0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an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F779A3" w:rsidRDefault="00F779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F779A3" w:rsidRDefault="00F779A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779A3" w:rsidRDefault="00D60C05">
      <w:pPr>
        <w:pStyle w:val="Titre9"/>
        <w:pageBreakBefore/>
      </w:pPr>
      <w:r>
        <w:lastRenderedPageBreak/>
        <w:t>DETAIL</w:t>
      </w:r>
    </w:p>
    <w:p w:rsidR="00F779A3" w:rsidRDefault="00F779A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1985"/>
        <w:gridCol w:w="992"/>
        <w:gridCol w:w="6095"/>
      </w:tblGrid>
      <w:tr w:rsidR="00F779A3">
        <w:trPr>
          <w:cantSplit/>
        </w:trPr>
        <w:tc>
          <w:tcPr>
            <w:tcW w:w="233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Controller</w:t>
            </w:r>
          </w:p>
        </w:tc>
        <w:tc>
          <w:tcPr>
            <w:tcW w:w="297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Paco Rabanne Parfums</w:t>
            </w:r>
          </w:p>
        </w:tc>
        <w:tc>
          <w:tcPr>
            <w:tcW w:w="6095" w:type="dxa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</w:pPr>
            <w:r>
              <w:rPr>
                <w:b/>
                <w:sz w:val="24"/>
                <w:szCs w:val="24"/>
              </w:rPr>
              <w:t>1987 – 1992</w:t>
            </w:r>
          </w:p>
        </w:tc>
      </w:tr>
      <w:tr w:rsidR="00F779A3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F779A3" w:rsidRDefault="00D60C05">
            <w:pPr>
              <w:snapToGrid w:val="0"/>
            </w:pPr>
            <w:r>
              <w:t>Fabrication et commercialisation de produits de toilette, cosmétiques, Haute Couture et PAP</w:t>
            </w:r>
          </w:p>
          <w:p w:rsidR="00F779A3" w:rsidRDefault="00D60C05">
            <w:r>
              <w:t xml:space="preserve">Site de production à Chartres </w:t>
            </w:r>
          </w:p>
          <w:p w:rsidR="00F779A3" w:rsidRDefault="00D60C05">
            <w:r>
              <w:t>Commercialisation de produits finis et de produits semi-finis</w:t>
            </w:r>
          </w:p>
          <w:p w:rsidR="00F779A3" w:rsidRDefault="00D60C05">
            <w:pPr>
              <w:pStyle w:val="Corpsdetexte21"/>
            </w:pPr>
            <w:r>
              <w:rPr>
                <w:color w:val="auto"/>
              </w:rPr>
              <w:t>Département Couture: Haute Couture, prêt à porter et accessoires: fabrication et licence.</w:t>
            </w:r>
          </w:p>
          <w:p w:rsidR="00F779A3" w:rsidRDefault="00D60C05">
            <w:r>
              <w:t>Chiffre d'Affaires: 450 MF, effectif: 300 personnes</w:t>
            </w:r>
          </w:p>
          <w:p w:rsidR="00F779A3" w:rsidRDefault="00D60C05">
            <w:pPr>
              <w:rPr>
                <w:u w:val="single"/>
              </w:rPr>
            </w:pPr>
            <w:r>
              <w:t>Maison Mère: Groupe PUIG International - Barcelone</w:t>
            </w:r>
          </w:p>
          <w:p w:rsidR="00F779A3" w:rsidRDefault="00D60C05">
            <w:r>
              <w:rPr>
                <w:u w:val="single"/>
              </w:rPr>
              <w:t>Responsabilités</w:t>
            </w:r>
          </w:p>
          <w:p w:rsidR="00F779A3" w:rsidRDefault="00D60C05">
            <w:r>
              <w:tab/>
              <w:t>- Comptabilité analytique</w:t>
            </w:r>
          </w:p>
          <w:p w:rsidR="00F779A3" w:rsidRDefault="00D60C05">
            <w:r>
              <w:tab/>
              <w:t>- Suivi des engagements de dépenses</w:t>
            </w:r>
          </w:p>
          <w:p w:rsidR="00F779A3" w:rsidRDefault="00D60C05">
            <w:r>
              <w:tab/>
              <w:t>- Clôture mensuelle : provisions analytiques</w:t>
            </w:r>
          </w:p>
          <w:p w:rsidR="00F779A3" w:rsidRDefault="00D60C05">
            <w:r>
              <w:tab/>
              <w:t xml:space="preserve">- Contrôle des coûts et </w:t>
            </w:r>
            <w:proofErr w:type="gramStart"/>
            <w:r>
              <w:t>:incorporation</w:t>
            </w:r>
            <w:proofErr w:type="gramEnd"/>
            <w:r>
              <w:t xml:space="preserve"> des écarts sur prix et quantités (PRMP/Standard)</w:t>
            </w:r>
          </w:p>
          <w:p w:rsidR="00F779A3" w:rsidRDefault="00D60C05">
            <w:r>
              <w:tab/>
              <w:t>- Procédures budgétaires</w:t>
            </w:r>
          </w:p>
          <w:p w:rsidR="00F779A3" w:rsidRDefault="00D60C05">
            <w:r>
              <w:tab/>
              <w:t>- Compte de Résultat analytique par section: analyse des écarts Réalisé/ Engagé/ Budget</w:t>
            </w:r>
          </w:p>
          <w:p w:rsidR="00F779A3" w:rsidRDefault="00D60C05">
            <w:r>
              <w:tab/>
              <w:t xml:space="preserve">- </w:t>
            </w:r>
            <w:proofErr w:type="spellStart"/>
            <w:r>
              <w:t>Reporting</w:t>
            </w:r>
            <w:proofErr w:type="spellEnd"/>
            <w:r>
              <w:t xml:space="preserve"> au Comité de Direction</w:t>
            </w:r>
          </w:p>
          <w:p w:rsidR="00F779A3" w:rsidRDefault="00D60C05">
            <w:pPr>
              <w:rPr>
                <w:u w:val="single"/>
              </w:rPr>
            </w:pPr>
            <w:r>
              <w:tab/>
              <w:t>- Rapprochement trimestriel avec la comptabilité générale</w:t>
            </w:r>
          </w:p>
          <w:p w:rsidR="00F779A3" w:rsidRDefault="00D60C05">
            <w:r>
              <w:rPr>
                <w:u w:val="single"/>
              </w:rPr>
              <w:t>Fonctions annexes</w:t>
            </w:r>
          </w:p>
          <w:p w:rsidR="00F779A3" w:rsidRDefault="00D60C05">
            <w:r>
              <w:tab/>
              <w:t>- Responsable de tous les développements micro-informatique de la Société (lotus)</w:t>
            </w:r>
          </w:p>
          <w:p w:rsidR="00F779A3" w:rsidRDefault="00D60C05">
            <w:r>
              <w:tab/>
              <w:t>- Missions ponctuelles d'audit et  d'analyses financières (études sectorielles)</w:t>
            </w:r>
          </w:p>
          <w:p w:rsidR="00F779A3" w:rsidRDefault="00D60C05">
            <w:r>
              <w:tab/>
              <w:t>- Contrôleur de gestion pour deux autres Sociétés appartenant au Groupe PUIG</w:t>
            </w:r>
          </w:p>
          <w:p w:rsidR="00F779A3" w:rsidRDefault="00D60C05">
            <w:r>
              <w:tab/>
            </w:r>
            <w:r>
              <w:tab/>
              <w:t>- ARAMBELLE: commercialisation de produits cosmétiques en France (C.A: 20 MF)</w:t>
            </w:r>
          </w:p>
          <w:p w:rsidR="00F779A3" w:rsidRDefault="00D60C05">
            <w:pPr>
              <w:rPr>
                <w:u w:val="single"/>
              </w:rPr>
            </w:pPr>
            <w:r>
              <w:tab/>
            </w:r>
            <w:r>
              <w:tab/>
              <w:t>- CIVECO: activité immobilière (C.A: 16 MF)</w:t>
            </w:r>
          </w:p>
          <w:p w:rsidR="00F779A3" w:rsidRDefault="00D60C05">
            <w:r>
              <w:rPr>
                <w:u w:val="single"/>
              </w:rPr>
              <w:t>Réalisations:</w:t>
            </w:r>
          </w:p>
          <w:p w:rsidR="00F779A3" w:rsidRDefault="00D60C05">
            <w:r>
              <w:tab/>
              <w:t>- Conception et réalisation d'un Contrôle Budgétaire axé sur l'analyse de la rentabilité des</w:t>
            </w:r>
          </w:p>
          <w:p w:rsidR="00F779A3" w:rsidRDefault="00D60C05">
            <w:r>
              <w:tab/>
              <w:t xml:space="preserve">  lignes de produit par secteur géographique (Compte de Résultat)</w:t>
            </w:r>
          </w:p>
          <w:p w:rsidR="00F779A3" w:rsidRDefault="00D60C05">
            <w:r>
              <w:tab/>
              <w:t>- Organisation des interfaces avec la gestion commerciale et la valorisation des stocks</w:t>
            </w:r>
          </w:p>
          <w:p w:rsidR="00F779A3" w:rsidRDefault="00D60C05">
            <w:r>
              <w:tab/>
              <w:t>- Conception et mise en place d'une gestion en coûts standards (matière et MOD)</w:t>
            </w:r>
          </w:p>
          <w:p w:rsidR="00F779A3" w:rsidRDefault="00D60C05">
            <w:pPr>
              <w:numPr>
                <w:ilvl w:val="1"/>
                <w:numId w:val="9"/>
              </w:numPr>
            </w:pPr>
            <w:r>
              <w:t>Adaptation du Contrôle Budgétaire Parfums à l'activité Couture et consolidation analytique</w:t>
            </w:r>
          </w:p>
          <w:p w:rsidR="00F779A3" w:rsidRDefault="00F779A3"/>
        </w:tc>
      </w:tr>
      <w:tr w:rsidR="00F779A3">
        <w:trPr>
          <w:cantSplit/>
          <w:trHeight w:val="221"/>
        </w:trPr>
        <w:tc>
          <w:tcPr>
            <w:tcW w:w="2055" w:type="dxa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S.A.P FRANCE</w:t>
            </w:r>
          </w:p>
        </w:tc>
        <w:tc>
          <w:tcPr>
            <w:tcW w:w="226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pStyle w:val="Titre7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</w:t>
            </w:r>
          </w:p>
        </w:tc>
        <w:tc>
          <w:tcPr>
            <w:tcW w:w="708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</w:pPr>
            <w:r>
              <w:rPr>
                <w:b/>
                <w:sz w:val="24"/>
                <w:szCs w:val="24"/>
              </w:rPr>
              <w:t>1992 – 1994</w:t>
            </w:r>
          </w:p>
        </w:tc>
      </w:tr>
      <w:tr w:rsidR="00F779A3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F779A3" w:rsidRDefault="00D60C05">
            <w:pPr>
              <w:snapToGrid w:val="0"/>
            </w:pPr>
            <w:r>
              <w:t xml:space="preserve">FORMATION:(progiciel R2 et R3): présenter les fonctionnalités du domaine </w:t>
            </w:r>
            <w:proofErr w:type="spellStart"/>
            <w:r>
              <w:t>Controlling</w:t>
            </w:r>
            <w:proofErr w:type="spellEnd"/>
          </w:p>
          <w:p w:rsidR="00F779A3" w:rsidRDefault="00D60C05">
            <w:r>
              <w:tab/>
              <w:t>- Centres de coûts</w:t>
            </w:r>
          </w:p>
          <w:p w:rsidR="00F779A3" w:rsidRDefault="00D60C05">
            <w:r>
              <w:tab/>
              <w:t>- Ordres Internes</w:t>
            </w:r>
          </w:p>
          <w:p w:rsidR="00F779A3" w:rsidRDefault="00D60C05">
            <w:r>
              <w:tab/>
              <w:t>- Déversement des Ordres</w:t>
            </w:r>
          </w:p>
          <w:p w:rsidR="00F779A3" w:rsidRDefault="00D60C05">
            <w:r>
              <w:t>CONSEIL ET ASSISTANCE</w:t>
            </w:r>
          </w:p>
          <w:p w:rsidR="00F779A3" w:rsidRDefault="00D60C05">
            <w:r>
              <w:tab/>
              <w:t xml:space="preserve">- Service Clientèle </w:t>
            </w:r>
            <w:proofErr w:type="spellStart"/>
            <w:r>
              <w:t>Hot-Line</w:t>
            </w:r>
            <w:proofErr w:type="spellEnd"/>
          </w:p>
          <w:p w:rsidR="00F779A3" w:rsidRDefault="00D60C05">
            <w:r>
              <w:tab/>
              <w:t xml:space="preserve">- Mission d'avant vente et de présentation générale du module </w:t>
            </w:r>
            <w:proofErr w:type="spellStart"/>
            <w:r>
              <w:t>Controlling</w:t>
            </w:r>
            <w:proofErr w:type="spellEnd"/>
            <w:r>
              <w:t xml:space="preserve"> (IBM, SIEMENS)</w:t>
            </w:r>
          </w:p>
          <w:p w:rsidR="00F779A3" w:rsidRDefault="00D60C05">
            <w:pPr>
              <w:numPr>
                <w:ilvl w:val="1"/>
                <w:numId w:val="8"/>
              </w:numPr>
            </w:pPr>
            <w:r>
              <w:t>Mission de conseil</w:t>
            </w:r>
            <w:proofErr w:type="gramStart"/>
            <w:r>
              <w:t>:  participation</w:t>
            </w:r>
            <w:proofErr w:type="gramEnd"/>
            <w:r>
              <w:t xml:space="preserve"> à la mise en </w:t>
            </w:r>
            <w:proofErr w:type="spellStart"/>
            <w:r>
              <w:t>oeuvre</w:t>
            </w:r>
            <w:proofErr w:type="spellEnd"/>
            <w:r>
              <w:t xml:space="preserve"> du module RK-P (gestion des Affaires) pour la S.A.T (</w:t>
            </w:r>
            <w:r>
              <w:rPr>
                <w:b/>
              </w:rPr>
              <w:t>Groupe SAGEM</w:t>
            </w:r>
            <w:r>
              <w:t>): adéquation des besoins au progiciel SAP et paramétrage (6 mois)</w:t>
            </w:r>
          </w:p>
          <w:p w:rsidR="00F779A3" w:rsidRDefault="00F779A3"/>
        </w:tc>
      </w:tr>
      <w:tr w:rsidR="00F779A3">
        <w:trPr>
          <w:cantSplit/>
        </w:trPr>
        <w:tc>
          <w:tcPr>
            <w:tcW w:w="2055" w:type="dxa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GEMINI</w:t>
            </w:r>
          </w:p>
        </w:tc>
        <w:tc>
          <w:tcPr>
            <w:tcW w:w="226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Consultant</w:t>
            </w:r>
          </w:p>
        </w:tc>
        <w:tc>
          <w:tcPr>
            <w:tcW w:w="708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</w:pPr>
            <w:r>
              <w:rPr>
                <w:b/>
                <w:sz w:val="24"/>
                <w:szCs w:val="24"/>
              </w:rPr>
              <w:t>1994-1998</w:t>
            </w:r>
          </w:p>
        </w:tc>
      </w:tr>
      <w:tr w:rsidR="00F779A3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F779A3" w:rsidRDefault="00D60C05">
            <w:pPr>
              <w:snapToGrid w:val="0"/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Formation de l'équipe de projet de </w:t>
            </w:r>
            <w:r>
              <w:rPr>
                <w:b/>
              </w:rPr>
              <w:t>MERCEDES BENZ ESPANA</w:t>
            </w:r>
            <w:r>
              <w:t xml:space="preserve"> pour les outils "Centres de Coûts" et "Ordres Internes" du module CONTROLLING du progiciel R/3. Formation assurée sur le site à Vitoria en Espagne.</w:t>
            </w:r>
          </w:p>
          <w:p w:rsidR="00F779A3" w:rsidRDefault="00D60C05">
            <w:pPr>
              <w:rPr>
                <w:b/>
              </w:rPr>
            </w:pPr>
            <w:r>
              <w:rPr>
                <w:b/>
                <w:i/>
              </w:rPr>
              <w:t>- Projet THOMSON MULTI-MEDIA Europe</w:t>
            </w:r>
            <w:r>
              <w:t>:</w:t>
            </w:r>
          </w:p>
          <w:p w:rsidR="00F779A3" w:rsidRDefault="00D60C05">
            <w:r>
              <w:rPr>
                <w:b/>
              </w:rPr>
              <w:t>Janvier 1995 - Janvier 1998</w:t>
            </w:r>
            <w:r>
              <w:t xml:space="preserve">: Coordinateur et responsable du projet Europe du Sud (Italie et Espagne) et consultant Finance basé à </w:t>
            </w:r>
            <w:r>
              <w:rPr>
                <w:b/>
              </w:rPr>
              <w:t>Madrid</w:t>
            </w:r>
            <w:r>
              <w:t>. Phase de Roll-out avec un site pilote et implémentation des modules suivants:</w:t>
            </w:r>
          </w:p>
          <w:p w:rsidR="00F779A3" w:rsidRDefault="00D60C05">
            <w:r>
              <w:tab/>
              <w:t>- Comptabilité Générale</w:t>
            </w:r>
          </w:p>
          <w:p w:rsidR="00F779A3" w:rsidRDefault="00D60C05">
            <w:r>
              <w:tab/>
              <w:t>- Comptabilités Fournisseurs et Clients</w:t>
            </w:r>
          </w:p>
          <w:p w:rsidR="00F779A3" w:rsidRDefault="00D60C05">
            <w:r>
              <w:tab/>
              <w:t>- Gestion des centres de coûts</w:t>
            </w:r>
          </w:p>
          <w:p w:rsidR="00F779A3" w:rsidRDefault="00D60C05">
            <w:r>
              <w:tab/>
              <w:t>- Comptes de résultat analytique</w:t>
            </w:r>
          </w:p>
          <w:p w:rsidR="00F779A3" w:rsidRDefault="00D60C05">
            <w:r>
              <w:t>du progiciel SAP R/3.</w:t>
            </w:r>
          </w:p>
          <w:p w:rsidR="00F779A3" w:rsidRDefault="00D60C05">
            <w:pPr>
              <w:rPr>
                <w:b/>
              </w:rPr>
            </w:pPr>
            <w:r>
              <w:t>Langues de travail: espagnol et anglais.</w:t>
            </w:r>
          </w:p>
          <w:p w:rsidR="00F779A3" w:rsidRDefault="00D60C05">
            <w:pPr>
              <w:numPr>
                <w:ilvl w:val="0"/>
                <w:numId w:val="7"/>
              </w:numPr>
            </w:pPr>
            <w:r>
              <w:rPr>
                <w:b/>
              </w:rPr>
              <w:t>Projet ALCATEL</w:t>
            </w:r>
            <w:r>
              <w:t>. Chef de projet finance sur les modules FI et CO avec installation du module gestion de la production. Projet basé à Saintes</w:t>
            </w:r>
          </w:p>
          <w:p w:rsidR="00F779A3" w:rsidRDefault="00F779A3"/>
          <w:p w:rsidR="00F779A3" w:rsidRDefault="00F779A3"/>
          <w:p w:rsidR="00F779A3" w:rsidRDefault="00F779A3">
            <w:pPr>
              <w:snapToGrid w:val="0"/>
            </w:pPr>
          </w:p>
        </w:tc>
      </w:tr>
      <w:tr w:rsidR="00F779A3">
        <w:trPr>
          <w:cantSplit/>
        </w:trPr>
        <w:tc>
          <w:tcPr>
            <w:tcW w:w="2055" w:type="dxa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FREELANCE</w:t>
            </w:r>
          </w:p>
        </w:tc>
        <w:tc>
          <w:tcPr>
            <w:tcW w:w="2268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Consultant</w:t>
            </w:r>
          </w:p>
        </w:tc>
        <w:tc>
          <w:tcPr>
            <w:tcW w:w="7087" w:type="dxa"/>
            <w:gridSpan w:val="2"/>
            <w:tcBorders>
              <w:bottom w:val="single" w:sz="4" w:space="0" w:color="000080"/>
            </w:tcBorders>
            <w:shd w:val="clear" w:color="auto" w:fill="C0C0C0"/>
          </w:tcPr>
          <w:p w:rsidR="00F779A3" w:rsidRDefault="00D60C05">
            <w:pPr>
              <w:snapToGrid w:val="0"/>
            </w:pPr>
            <w:r>
              <w:rPr>
                <w:b/>
                <w:sz w:val="24"/>
                <w:szCs w:val="24"/>
              </w:rPr>
              <w:t>Depuis octobre 1998</w:t>
            </w:r>
          </w:p>
        </w:tc>
      </w:tr>
      <w:tr w:rsidR="00F779A3">
        <w:trPr>
          <w:cantSplit/>
        </w:trPr>
        <w:tc>
          <w:tcPr>
            <w:tcW w:w="11410" w:type="dxa"/>
            <w:gridSpan w:val="5"/>
            <w:tcBorders>
              <w:top w:val="single" w:sz="4" w:space="0" w:color="000080"/>
            </w:tcBorders>
            <w:shd w:val="clear" w:color="auto" w:fill="auto"/>
          </w:tcPr>
          <w:p w:rsidR="00F779A3" w:rsidRDefault="00F779A3">
            <w:pPr>
              <w:snapToGrid w:val="0"/>
            </w:pPr>
          </w:p>
          <w:p w:rsidR="00F779A3" w:rsidRDefault="00D60C05">
            <w:pPr>
              <w:numPr>
                <w:ilvl w:val="0"/>
                <w:numId w:val="3"/>
              </w:numPr>
              <w:snapToGrid w:val="0"/>
            </w:pPr>
            <w:r>
              <w:t>Projets Park Davis et HMR pour le compte de Cap Gemini. Team leader sur les modules FI et CO. Projets cours et intervention ponctuelle en remplacement de personnes absentes.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Projet </w:t>
            </w:r>
            <w:r>
              <w:rPr>
                <w:b/>
              </w:rPr>
              <w:t>L’OREAL</w:t>
            </w:r>
            <w:r>
              <w:t xml:space="preserve"> : chef de projet Finance (incluant les modules FI-GL, FI-AR, FI-AP, FI-LC, FI-AM et les modules CO-CCA, CO-OPA et CO-PA. Principe de la misions : évolution et maintien d’un </w:t>
            </w:r>
            <w:proofErr w:type="spellStart"/>
            <w:r>
              <w:t>Core</w:t>
            </w:r>
            <w:proofErr w:type="spellEnd"/>
            <w:r>
              <w:t xml:space="preserve"> Système, assistance aux sites en production et accompagnement de nouveaux sites sur SAP. Respect des normes groupes en </w:t>
            </w:r>
            <w:proofErr w:type="gramStart"/>
            <w:r>
              <w:t>terme</w:t>
            </w:r>
            <w:proofErr w:type="gramEnd"/>
            <w:r>
              <w:t xml:space="preserve"> de gestion et management des équipes locales (internes et consultants). Intervention principales au Mexique et en Grande Bretagne. Interventions ponctuelles au Danemark, en Allemagne et aux Pays Bas. 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Projet Total Elf Fina : maintenance du système SAP R/3 domaine COPA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CEGETEL - ACCENTURE : prise en charge de petits projets CO, réorganisation de la documentation et maintenance utilisateurs. Dans un second temps, responsable du bon déroulement d’ateliers de conception générale liée à une montée de version 4.6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THALES : TMA FI-CO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CEGETEL-ACCENTURE: projet de fusion de deux sociétés du groupe CEGETEL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IBM – </w:t>
            </w:r>
            <w:proofErr w:type="spellStart"/>
            <w:r>
              <w:t>Wolters</w:t>
            </w:r>
            <w:proofErr w:type="spellEnd"/>
            <w:r>
              <w:t xml:space="preserve"> Kluwer : projet de déploiement.  Intervention en comptabilité clients sur une solution anglaise.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SOPRA España – Saint </w:t>
            </w:r>
            <w:proofErr w:type="spellStart"/>
            <w:r>
              <w:t>Gobain</w:t>
            </w:r>
            <w:proofErr w:type="spellEnd"/>
            <w:r>
              <w:t xml:space="preserve"> </w:t>
            </w:r>
            <w:proofErr w:type="gramStart"/>
            <w:r>
              <w:t>Canalisation .</w:t>
            </w:r>
            <w:proofErr w:type="gramEnd"/>
            <w:r>
              <w:t xml:space="preserve"> Déploiement espagnol de la solution française avec extension de l’activité industrielle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Groupe NRJ – Expertise CO-PA et liens avec les modules de ventes SD et IS-Média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O-I Espagne 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déploiement Européen : expert FI (Owens Illinois, Groupe US)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Hayes-</w:t>
            </w:r>
            <w:proofErr w:type="spellStart"/>
            <w:r>
              <w:t>Lemmerz</w:t>
            </w:r>
            <w:proofErr w:type="spellEnd"/>
            <w:r>
              <w:t xml:space="preserve"> 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déploiement Européen : expert FI-CO (Groupe US)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Thomson 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SAP Finance Team Leader – Déploiement US et </w:t>
            </w:r>
            <w:proofErr w:type="spellStart"/>
            <w:r>
              <w:t>europe</w:t>
            </w:r>
            <w:proofErr w:type="spellEnd"/>
            <w:r>
              <w:t xml:space="preserve"> + Développement du </w:t>
            </w:r>
            <w:proofErr w:type="spellStart"/>
            <w:r>
              <w:t>Core</w:t>
            </w:r>
            <w:proofErr w:type="spellEnd"/>
            <w:r>
              <w:t xml:space="preserve"> System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Plastic Omnium 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Expert FI-CO : aide au démarrage d’un projet de montée de version SAP. Interface de facturation, reprise des immobilisations et Report </w:t>
            </w:r>
            <w:proofErr w:type="spellStart"/>
            <w:r>
              <w:t>Painter</w:t>
            </w:r>
            <w:proofErr w:type="spellEnd"/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 xml:space="preserve">Deutsch </w:t>
            </w:r>
            <w:r>
              <w:rPr>
                <w:rFonts w:ascii="Wingdings" w:hAnsi="Wingdings" w:cs="Wingdings"/>
                <w:lang w:val="en-GB"/>
              </w:rPr>
              <w:t></w:t>
            </w:r>
            <w:r>
              <w:t xml:space="preserve"> Expert FI-CO: Mise en place des modules FI et  CO modules </w:t>
            </w:r>
            <w:proofErr w:type="spellStart"/>
            <w:r>
              <w:t>implementation</w:t>
            </w:r>
            <w:proofErr w:type="spellEnd"/>
            <w:r>
              <w:t xml:space="preserve"> et projet de migration de la version 4.7 vers ECC 6.0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proofErr w:type="spellStart"/>
            <w:r>
              <w:t>Applium</w:t>
            </w:r>
            <w:proofErr w:type="spellEnd"/>
            <w:r>
              <w:t xml:space="preserve">  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TMA pour quelques-uns des clients </w:t>
            </w:r>
            <w:proofErr w:type="spellStart"/>
            <w:r>
              <w:t>Applium</w:t>
            </w:r>
            <w:proofErr w:type="spellEnd"/>
            <w:r>
              <w:t xml:space="preserve"> sur les modules FI et CO</w:t>
            </w:r>
          </w:p>
          <w:p w:rsidR="00F779A3" w:rsidRDefault="00F779A3">
            <w:pPr>
              <w:pStyle w:val="Paragraphedeliste1"/>
            </w:pPr>
          </w:p>
          <w:p w:rsidR="00F779A3" w:rsidRDefault="00D60C05">
            <w:pPr>
              <w:numPr>
                <w:ilvl w:val="0"/>
                <w:numId w:val="3"/>
              </w:numPr>
            </w:pPr>
            <w:r>
              <w:t>Technicolor 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Expert FI-CO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responsable de 4 projets menés de front : Gestion du factoring, Révision des marges dans COP, Mise en place du Cash Management et « </w:t>
            </w:r>
            <w:proofErr w:type="spellStart"/>
            <w:r>
              <w:t>Carve</w:t>
            </w:r>
            <w:proofErr w:type="spellEnd"/>
            <w:r>
              <w:t xml:space="preserve"> out »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proofErr w:type="spellStart"/>
            <w:r>
              <w:t>Facilicom</w:t>
            </w:r>
            <w:proofErr w:type="spellEnd"/>
            <w:r>
              <w:t xml:space="preserve"> → Roll out français d'après un Template Hollandais. Le projet a été stoppé avant le démarrage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proofErr w:type="spellStart"/>
            <w:r>
              <w:t>Viapost</w:t>
            </w:r>
            <w:proofErr w:type="spellEnd"/>
            <w:r>
              <w:t xml:space="preserve"> → Refonte du module COPA</w:t>
            </w:r>
          </w:p>
          <w:p w:rsidR="00F779A3" w:rsidRDefault="00F779A3"/>
          <w:p w:rsidR="00F779A3" w:rsidRDefault="00D60C05">
            <w:pPr>
              <w:numPr>
                <w:ilvl w:val="0"/>
                <w:numId w:val="3"/>
              </w:numPr>
            </w:pPr>
            <w:r>
              <w:t>Cous intensif de Russe à l'Université de Saint Petersbourg pendant 10 mois</w:t>
            </w:r>
          </w:p>
          <w:p w:rsidR="00783840" w:rsidRDefault="00783840" w:rsidP="00783840">
            <w:pPr>
              <w:pStyle w:val="Paragraphedeliste"/>
            </w:pPr>
          </w:p>
          <w:p w:rsidR="00783840" w:rsidRDefault="00783840">
            <w:pPr>
              <w:numPr>
                <w:ilvl w:val="0"/>
                <w:numId w:val="3"/>
              </w:numPr>
            </w:pPr>
            <w:proofErr w:type="spellStart"/>
            <w:r>
              <w:t>Mite</w:t>
            </w:r>
            <w:r w:rsidR="00087A51">
              <w:t>l</w:t>
            </w:r>
            <w:bookmarkStart w:id="0" w:name="_GoBack"/>
            <w:bookmarkEnd w:id="0"/>
            <w:proofErr w:type="spellEnd"/>
            <w:r>
              <w:t xml:space="preserve"> France </w:t>
            </w:r>
            <w:r>
              <w:sym w:font="Wingdings" w:char="F0E0"/>
            </w:r>
            <w:r>
              <w:t xml:space="preserve"> Roll Out Français à partir d’un </w:t>
            </w:r>
            <w:proofErr w:type="spellStart"/>
            <w:r>
              <w:t>Core</w:t>
            </w:r>
            <w:proofErr w:type="spellEnd"/>
            <w:r>
              <w:t xml:space="preserve"> System Canadien</w:t>
            </w:r>
          </w:p>
          <w:p w:rsidR="00DB6861" w:rsidRDefault="00DB6861" w:rsidP="00DB6861">
            <w:pPr>
              <w:pStyle w:val="Paragraphedeliste"/>
            </w:pPr>
          </w:p>
          <w:p w:rsidR="00DB6861" w:rsidRDefault="00DB6861">
            <w:pPr>
              <w:numPr>
                <w:ilvl w:val="0"/>
                <w:numId w:val="3"/>
              </w:numPr>
            </w:pPr>
            <w:r>
              <w:t xml:space="preserve">Air Liquide </w:t>
            </w:r>
            <w:r>
              <w:sym w:font="Wingdings" w:char="F0E0"/>
            </w:r>
            <w:r>
              <w:t xml:space="preserve"> Migration des données FI et support au démarrage sur FI et AA</w:t>
            </w:r>
          </w:p>
          <w:p w:rsidR="00F779A3" w:rsidRDefault="00F779A3"/>
          <w:p w:rsidR="00F779A3" w:rsidRDefault="00F779A3"/>
          <w:p w:rsidR="00F779A3" w:rsidRDefault="00F779A3"/>
          <w:p w:rsidR="00F779A3" w:rsidRDefault="00F779A3"/>
        </w:tc>
      </w:tr>
    </w:tbl>
    <w:p w:rsidR="00F779A3" w:rsidRDefault="00F779A3"/>
    <w:sectPr w:rsidR="00F779A3" w:rsidSect="004F3C7F">
      <w:headerReference w:type="default" r:id="rId7"/>
      <w:pgSz w:w="11906" w:h="16838"/>
      <w:pgMar w:top="776" w:right="567" w:bottom="940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CD" w:rsidRDefault="00425FCD">
      <w:r>
        <w:separator/>
      </w:r>
    </w:p>
  </w:endnote>
  <w:endnote w:type="continuationSeparator" w:id="0">
    <w:p w:rsidR="00425FCD" w:rsidRDefault="0042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CD" w:rsidRDefault="00425FCD">
      <w:r>
        <w:separator/>
      </w:r>
    </w:p>
  </w:footnote>
  <w:footnote w:type="continuationSeparator" w:id="0">
    <w:p w:rsidR="00425FCD" w:rsidRDefault="0042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A3" w:rsidRDefault="00753D50">
    <w:pPr>
      <w:pStyle w:val="En-tte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9.05pt;margin-top:24.1pt;width:201.4pt;height:33.25pt;z-index:251657728;mso-wrap-distance-left:0;mso-wrap-distance-right:0;mso-position-horizontal:absolute;mso-position-horizontal-relative:page;mso-position-vertical:absolute;mso-position-vertical-relative:page" stroked="f">
          <v:fill opacity="0" color2="black"/>
          <v:textbox inset="0,0,0,0">
            <w:txbxContent>
              <w:p w:rsidR="00F779A3" w:rsidRDefault="00D60C05">
                <w:pPr>
                  <w:pStyle w:val="Adresse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Consultant Finance SAP</w:t>
                </w:r>
              </w:p>
              <w:p w:rsidR="00F779A3" w:rsidRDefault="00DB6861">
                <w:pPr>
                  <w:pStyle w:val="Adresse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Téléphone  </w:t>
                </w:r>
                <w:r w:rsidR="00D60C05">
                  <w:rPr>
                    <w:sz w:val="16"/>
                    <w:szCs w:val="16"/>
                  </w:rPr>
                  <w:t xml:space="preserve"> +33.6.51.70.83.48</w:t>
                </w:r>
              </w:p>
              <w:p w:rsidR="00F779A3" w:rsidRDefault="00D60C05">
                <w:pPr>
                  <w:pStyle w:val="Adresse1"/>
                </w:pPr>
                <w:r>
                  <w:rPr>
                    <w:sz w:val="16"/>
                    <w:szCs w:val="16"/>
                  </w:rPr>
                  <w:t>Courriel : t.gertsch@gmail.com</w:t>
                </w:r>
              </w:p>
            </w:txbxContent>
          </v:textbox>
          <w10:wrap type="topAndBottom" anchorx="page" anchory="page"/>
        </v:shape>
      </w:pict>
    </w:r>
    <w:r w:rsidR="003F5247" w:rsidRPr="00063FDE">
      <w:rPr>
        <w:color w:val="0000FF"/>
        <w:sz w:val="31"/>
        <w:szCs w:val="31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.75pt;height:60.75pt">
          <v:imagedata r:id="rId1" o:title="Identité SPB 2"/>
        </v:shape>
      </w:pict>
    </w:r>
    <w:r w:rsidR="00D60C05">
      <w:rPr>
        <w:color w:val="0000FF"/>
        <w:sz w:val="31"/>
      </w:rPr>
      <w:t xml:space="preserve"> </w:t>
    </w:r>
    <w:r w:rsidR="00D60C05">
      <w:rPr>
        <w:b/>
        <w:sz w:val="38"/>
        <w:vertAlign w:val="superscript"/>
      </w:rPr>
      <w:t xml:space="preserve">Thierry Gertsch </w:t>
    </w:r>
    <w:r w:rsidR="00D60C05">
      <w:rPr>
        <w:sz w:val="36"/>
        <w:szCs w:val="36"/>
        <w:vertAlign w:val="superscript"/>
      </w:rPr>
      <w:t xml:space="preserve">– Membre </w:t>
    </w:r>
    <w:proofErr w:type="gramStart"/>
    <w:r w:rsidR="00D60C05">
      <w:rPr>
        <w:sz w:val="36"/>
        <w:szCs w:val="36"/>
        <w:vertAlign w:val="superscript"/>
      </w:rPr>
      <w:t>de ISAP</w:t>
    </w:r>
    <w:proofErr w:type="gramEnd"/>
    <w:r w:rsidR="00D60C05">
      <w:rPr>
        <w:sz w:val="36"/>
        <w:szCs w:val="36"/>
        <w:vertAlign w:val="superscript"/>
      </w:rPr>
      <w:t xml:space="preserve"> (http://www.federation-isap.fr/)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B62"/>
    <w:rsid w:val="00087A51"/>
    <w:rsid w:val="003F5247"/>
    <w:rsid w:val="00425FCD"/>
    <w:rsid w:val="004F3C7F"/>
    <w:rsid w:val="00641B62"/>
    <w:rsid w:val="00753D50"/>
    <w:rsid w:val="00783840"/>
    <w:rsid w:val="00786A91"/>
    <w:rsid w:val="00D60C05"/>
    <w:rsid w:val="00DB6861"/>
    <w:rsid w:val="00EA7A9E"/>
    <w:rsid w:val="00F735D6"/>
    <w:rsid w:val="00F7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7F"/>
    <w:pPr>
      <w:suppressAutoHyphens/>
    </w:pPr>
    <w:rPr>
      <w:lang w:val="fr-FR" w:eastAsia="fr-FR"/>
    </w:rPr>
  </w:style>
  <w:style w:type="paragraph" w:styleId="Titre1">
    <w:name w:val="heading 1"/>
    <w:basedOn w:val="TitreBase"/>
    <w:next w:val="Corpsdetexte"/>
    <w:qFormat/>
    <w:rsid w:val="004F3C7F"/>
    <w:pPr>
      <w:numPr>
        <w:numId w:val="1"/>
      </w:numPr>
      <w:spacing w:before="220" w:after="220"/>
      <w:ind w:left="-2160" w:firstLine="0"/>
      <w:jc w:val="left"/>
      <w:outlineLvl w:val="0"/>
    </w:pPr>
  </w:style>
  <w:style w:type="paragraph" w:styleId="Titre2">
    <w:name w:val="heading 2"/>
    <w:basedOn w:val="TitreBase"/>
    <w:next w:val="Corpsdetexte"/>
    <w:qFormat/>
    <w:rsid w:val="004F3C7F"/>
    <w:pPr>
      <w:numPr>
        <w:ilvl w:val="1"/>
        <w:numId w:val="1"/>
      </w:numPr>
      <w:spacing w:after="220"/>
      <w:jc w:val="left"/>
      <w:outlineLvl w:val="1"/>
    </w:pPr>
  </w:style>
  <w:style w:type="paragraph" w:styleId="Titre3">
    <w:name w:val="heading 3"/>
    <w:basedOn w:val="TitreBase"/>
    <w:next w:val="Corpsdetexte"/>
    <w:qFormat/>
    <w:rsid w:val="004F3C7F"/>
    <w:pPr>
      <w:numPr>
        <w:ilvl w:val="2"/>
        <w:numId w:val="1"/>
      </w:numPr>
      <w:spacing w:after="220"/>
      <w:jc w:val="left"/>
      <w:outlineLvl w:val="2"/>
    </w:pPr>
  </w:style>
  <w:style w:type="paragraph" w:styleId="Titre4">
    <w:name w:val="heading 4"/>
    <w:basedOn w:val="TitreBase"/>
    <w:next w:val="Corpsdetexte"/>
    <w:qFormat/>
    <w:rsid w:val="004F3C7F"/>
    <w:pPr>
      <w:numPr>
        <w:ilvl w:val="3"/>
        <w:numId w:val="1"/>
      </w:numPr>
      <w:jc w:val="left"/>
      <w:outlineLvl w:val="3"/>
    </w:pPr>
  </w:style>
  <w:style w:type="paragraph" w:styleId="Titre5">
    <w:name w:val="heading 5"/>
    <w:basedOn w:val="TitreBase"/>
    <w:next w:val="Corpsdetexte"/>
    <w:qFormat/>
    <w:rsid w:val="004F3C7F"/>
    <w:pPr>
      <w:numPr>
        <w:ilvl w:val="4"/>
        <w:numId w:val="1"/>
      </w:numPr>
      <w:spacing w:after="220"/>
      <w:jc w:val="left"/>
      <w:outlineLvl w:val="4"/>
    </w:pPr>
  </w:style>
  <w:style w:type="paragraph" w:styleId="Titre6">
    <w:name w:val="heading 6"/>
    <w:basedOn w:val="Normal"/>
    <w:next w:val="Normal"/>
    <w:qFormat/>
    <w:rsid w:val="004F3C7F"/>
    <w:pPr>
      <w:numPr>
        <w:ilvl w:val="5"/>
        <w:numId w:val="1"/>
      </w:numPr>
      <w:spacing w:before="240" w:after="60"/>
      <w:jc w:val="both"/>
      <w:outlineLvl w:val="5"/>
    </w:pPr>
  </w:style>
  <w:style w:type="paragraph" w:styleId="Titre7">
    <w:name w:val="heading 7"/>
    <w:basedOn w:val="Normal"/>
    <w:next w:val="Normal"/>
    <w:qFormat/>
    <w:rsid w:val="004F3C7F"/>
    <w:pPr>
      <w:keepNext/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qFormat/>
    <w:rsid w:val="004F3C7F"/>
    <w:pPr>
      <w:keepNext/>
      <w:numPr>
        <w:ilvl w:val="7"/>
        <w:numId w:val="1"/>
      </w:numPr>
      <w:jc w:val="center"/>
      <w:outlineLvl w:val="7"/>
    </w:pPr>
  </w:style>
  <w:style w:type="paragraph" w:styleId="Titre9">
    <w:name w:val="heading 9"/>
    <w:basedOn w:val="Normal"/>
    <w:next w:val="Normal"/>
    <w:qFormat/>
    <w:rsid w:val="004F3C7F"/>
    <w:pPr>
      <w:keepNext/>
      <w:numPr>
        <w:ilvl w:val="8"/>
        <w:numId w:val="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F3C7F"/>
  </w:style>
  <w:style w:type="character" w:customStyle="1" w:styleId="WW8Num1z1">
    <w:name w:val="WW8Num1z1"/>
    <w:rsid w:val="004F3C7F"/>
  </w:style>
  <w:style w:type="character" w:customStyle="1" w:styleId="WW8Num1z2">
    <w:name w:val="WW8Num1z2"/>
    <w:rsid w:val="004F3C7F"/>
  </w:style>
  <w:style w:type="character" w:customStyle="1" w:styleId="WW8Num1z3">
    <w:name w:val="WW8Num1z3"/>
    <w:rsid w:val="004F3C7F"/>
  </w:style>
  <w:style w:type="character" w:customStyle="1" w:styleId="WW8Num1z4">
    <w:name w:val="WW8Num1z4"/>
    <w:rsid w:val="004F3C7F"/>
  </w:style>
  <w:style w:type="character" w:customStyle="1" w:styleId="WW8Num1z5">
    <w:name w:val="WW8Num1z5"/>
    <w:rsid w:val="004F3C7F"/>
  </w:style>
  <w:style w:type="character" w:customStyle="1" w:styleId="WW8Num1z6">
    <w:name w:val="WW8Num1z6"/>
    <w:rsid w:val="004F3C7F"/>
  </w:style>
  <w:style w:type="character" w:customStyle="1" w:styleId="WW8Num1z7">
    <w:name w:val="WW8Num1z7"/>
    <w:rsid w:val="004F3C7F"/>
  </w:style>
  <w:style w:type="character" w:customStyle="1" w:styleId="WW8Num1z8">
    <w:name w:val="WW8Num1z8"/>
    <w:rsid w:val="004F3C7F"/>
  </w:style>
  <w:style w:type="character" w:customStyle="1" w:styleId="WW8Num2z0">
    <w:name w:val="WW8Num2z0"/>
    <w:rsid w:val="004F3C7F"/>
    <w:rPr>
      <w:rFonts w:ascii="Wingdings" w:hAnsi="Wingdings" w:cs="Wingdings"/>
    </w:rPr>
  </w:style>
  <w:style w:type="character" w:customStyle="1" w:styleId="WW8Num3z0">
    <w:name w:val="WW8Num3z0"/>
    <w:rsid w:val="004F3C7F"/>
    <w:rPr>
      <w:rFonts w:ascii="Wingdings" w:hAnsi="Wingdings" w:cs="Wingdings"/>
    </w:rPr>
  </w:style>
  <w:style w:type="character" w:customStyle="1" w:styleId="WW8Num4z0">
    <w:name w:val="WW8Num4z0"/>
    <w:rsid w:val="004F3C7F"/>
  </w:style>
  <w:style w:type="character" w:customStyle="1" w:styleId="WW8Num5z0">
    <w:name w:val="WW8Num5z0"/>
    <w:rsid w:val="004F3C7F"/>
    <w:rPr>
      <w:rFonts w:ascii="Symbol" w:hAnsi="Symbol" w:cs="Symbol"/>
    </w:rPr>
  </w:style>
  <w:style w:type="character" w:customStyle="1" w:styleId="WW8Num6z0">
    <w:name w:val="WW8Num6z0"/>
    <w:rsid w:val="004F3C7F"/>
  </w:style>
  <w:style w:type="character" w:customStyle="1" w:styleId="WW8Num7z0">
    <w:name w:val="WW8Num7z0"/>
    <w:rsid w:val="004F3C7F"/>
    <w:rPr>
      <w:rFonts w:ascii="Symbol" w:hAnsi="Symbol" w:cs="Symbol"/>
    </w:rPr>
  </w:style>
  <w:style w:type="character" w:customStyle="1" w:styleId="WW8Num8z0">
    <w:name w:val="WW8Num8z0"/>
    <w:rsid w:val="004F3C7F"/>
    <w:rPr>
      <w:rFonts w:ascii="Symbol" w:hAnsi="Symbol" w:cs="Symbol"/>
    </w:rPr>
  </w:style>
  <w:style w:type="character" w:customStyle="1" w:styleId="WW8Num9z0">
    <w:name w:val="WW8Num9z0"/>
    <w:rsid w:val="004F3C7F"/>
    <w:rPr>
      <w:rFonts w:ascii="Wingdings" w:hAnsi="Wingdings" w:cs="Wingdings"/>
    </w:rPr>
  </w:style>
  <w:style w:type="character" w:customStyle="1" w:styleId="Policepardfaut2">
    <w:name w:val="Police par défaut2"/>
    <w:rsid w:val="004F3C7F"/>
  </w:style>
  <w:style w:type="character" w:customStyle="1" w:styleId="Absatz-Standardschriftart">
    <w:name w:val="Absatz-Standardschriftart"/>
    <w:rsid w:val="004F3C7F"/>
  </w:style>
  <w:style w:type="character" w:customStyle="1" w:styleId="Fuentedeprrafopredeter">
    <w:name w:val="Fuente de párrafo predeter."/>
    <w:rsid w:val="004F3C7F"/>
  </w:style>
  <w:style w:type="character" w:customStyle="1" w:styleId="WW-Absatz-Standardschriftart">
    <w:name w:val="WW-Absatz-Standardschriftart"/>
    <w:rsid w:val="004F3C7F"/>
  </w:style>
  <w:style w:type="character" w:customStyle="1" w:styleId="WW8Num2z1">
    <w:name w:val="WW8Num2z1"/>
    <w:rsid w:val="004F3C7F"/>
    <w:rPr>
      <w:rFonts w:ascii="Courier New" w:hAnsi="Courier New" w:cs="Courier New"/>
    </w:rPr>
  </w:style>
  <w:style w:type="character" w:customStyle="1" w:styleId="WW8Num2z3">
    <w:name w:val="WW8Num2z3"/>
    <w:rsid w:val="004F3C7F"/>
    <w:rPr>
      <w:rFonts w:ascii="Symbol" w:hAnsi="Symbol" w:cs="Symbol"/>
    </w:rPr>
  </w:style>
  <w:style w:type="character" w:customStyle="1" w:styleId="WW8Num5z1">
    <w:name w:val="WW8Num5z1"/>
    <w:rsid w:val="004F3C7F"/>
    <w:rPr>
      <w:rFonts w:ascii="Courier New" w:hAnsi="Courier New" w:cs="Courier New"/>
    </w:rPr>
  </w:style>
  <w:style w:type="character" w:customStyle="1" w:styleId="WW8Num5z2">
    <w:name w:val="WW8Num5z2"/>
    <w:rsid w:val="004F3C7F"/>
    <w:rPr>
      <w:rFonts w:ascii="Wingdings" w:hAnsi="Wingdings" w:cs="Wingdings"/>
    </w:rPr>
  </w:style>
  <w:style w:type="character" w:customStyle="1" w:styleId="WW8Num6z1">
    <w:name w:val="WW8Num6z1"/>
    <w:rsid w:val="004F3C7F"/>
    <w:rPr>
      <w:rFonts w:ascii="Courier New" w:hAnsi="Courier New" w:cs="Courier New"/>
    </w:rPr>
  </w:style>
  <w:style w:type="character" w:customStyle="1" w:styleId="WW8Num6z2">
    <w:name w:val="WW8Num6z2"/>
    <w:rsid w:val="004F3C7F"/>
    <w:rPr>
      <w:rFonts w:ascii="Wingdings" w:hAnsi="Wingdings" w:cs="Wingdings"/>
    </w:rPr>
  </w:style>
  <w:style w:type="character" w:customStyle="1" w:styleId="WW8Num6z3">
    <w:name w:val="WW8Num6z3"/>
    <w:rsid w:val="004F3C7F"/>
    <w:rPr>
      <w:rFonts w:ascii="Symbol" w:hAnsi="Symbol" w:cs="Symbol"/>
    </w:rPr>
  </w:style>
  <w:style w:type="character" w:customStyle="1" w:styleId="WW8Num8z1">
    <w:name w:val="WW8Num8z1"/>
    <w:rsid w:val="004F3C7F"/>
    <w:rPr>
      <w:rFonts w:ascii="Courier New" w:hAnsi="Courier New" w:cs="Courier New"/>
    </w:rPr>
  </w:style>
  <w:style w:type="character" w:customStyle="1" w:styleId="WW8Num8z2">
    <w:name w:val="WW8Num8z2"/>
    <w:rsid w:val="004F3C7F"/>
    <w:rPr>
      <w:rFonts w:ascii="Wingdings" w:hAnsi="Wingdings" w:cs="Wingdings"/>
    </w:rPr>
  </w:style>
  <w:style w:type="character" w:customStyle="1" w:styleId="WW8Num10z0">
    <w:name w:val="WW8Num10z0"/>
    <w:rsid w:val="004F3C7F"/>
    <w:rPr>
      <w:rFonts w:ascii="Symbol" w:hAnsi="Symbol" w:cs="Symbol"/>
    </w:rPr>
  </w:style>
  <w:style w:type="character" w:customStyle="1" w:styleId="WW8Num10z1">
    <w:name w:val="WW8Num10z1"/>
    <w:rsid w:val="004F3C7F"/>
    <w:rPr>
      <w:rFonts w:ascii="Courier New" w:hAnsi="Courier New" w:cs="Courier New"/>
    </w:rPr>
  </w:style>
  <w:style w:type="character" w:customStyle="1" w:styleId="WW8Num10z2">
    <w:name w:val="WW8Num10z2"/>
    <w:rsid w:val="004F3C7F"/>
    <w:rPr>
      <w:rFonts w:ascii="Wingdings" w:hAnsi="Wingdings" w:cs="Wingdings"/>
    </w:rPr>
  </w:style>
  <w:style w:type="character" w:customStyle="1" w:styleId="WW8Num11z0">
    <w:name w:val="WW8Num11z0"/>
    <w:rsid w:val="004F3C7F"/>
    <w:rPr>
      <w:rFonts w:ascii="Wingdings" w:hAnsi="Wingdings" w:cs="Wingdings"/>
    </w:rPr>
  </w:style>
  <w:style w:type="character" w:customStyle="1" w:styleId="WW8Num12z0">
    <w:name w:val="WW8Num12z0"/>
    <w:rsid w:val="004F3C7F"/>
    <w:rPr>
      <w:rFonts w:ascii="Wingdings" w:hAnsi="Wingdings" w:cs="Wingdings"/>
    </w:rPr>
  </w:style>
  <w:style w:type="character" w:customStyle="1" w:styleId="WW8Num14z0">
    <w:name w:val="WW8Num14z0"/>
    <w:rsid w:val="004F3C7F"/>
    <w:rPr>
      <w:rFonts w:ascii="Wingdings" w:hAnsi="Wingdings" w:cs="Wingdings"/>
    </w:rPr>
  </w:style>
  <w:style w:type="character" w:customStyle="1" w:styleId="WW8Num15z0">
    <w:name w:val="WW8Num15z0"/>
    <w:rsid w:val="004F3C7F"/>
    <w:rPr>
      <w:rFonts w:ascii="Symbol" w:hAnsi="Symbol" w:cs="Symbol"/>
    </w:rPr>
  </w:style>
  <w:style w:type="character" w:customStyle="1" w:styleId="WW8Num16z0">
    <w:name w:val="WW8Num16z0"/>
    <w:rsid w:val="004F3C7F"/>
    <w:rPr>
      <w:rFonts w:ascii="Wingdings" w:hAnsi="Wingdings" w:cs="Wingdings"/>
    </w:rPr>
  </w:style>
  <w:style w:type="character" w:customStyle="1" w:styleId="WW8Num17z0">
    <w:name w:val="WW8Num17z0"/>
    <w:rsid w:val="004F3C7F"/>
    <w:rPr>
      <w:rFonts w:ascii="Wingdings" w:hAnsi="Wingdings" w:cs="Wingdings"/>
    </w:rPr>
  </w:style>
  <w:style w:type="character" w:customStyle="1" w:styleId="WW8NumSt1z0">
    <w:name w:val="WW8NumSt1z0"/>
    <w:rsid w:val="004F3C7F"/>
  </w:style>
  <w:style w:type="character" w:customStyle="1" w:styleId="WW8NumSt2z0">
    <w:name w:val="WW8NumSt2z0"/>
    <w:rsid w:val="004F3C7F"/>
  </w:style>
  <w:style w:type="character" w:customStyle="1" w:styleId="WW8NumSt3z0">
    <w:name w:val="WW8NumSt3z0"/>
    <w:rsid w:val="004F3C7F"/>
  </w:style>
  <w:style w:type="character" w:customStyle="1" w:styleId="WW8NumSt4z0">
    <w:name w:val="WW8NumSt4z0"/>
    <w:rsid w:val="004F3C7F"/>
  </w:style>
  <w:style w:type="character" w:customStyle="1" w:styleId="WW8NumSt5z0">
    <w:name w:val="WW8NumSt5z0"/>
    <w:rsid w:val="004F3C7F"/>
  </w:style>
  <w:style w:type="character" w:customStyle="1" w:styleId="WW8NumSt6z0">
    <w:name w:val="WW8NumSt6z0"/>
    <w:rsid w:val="004F3C7F"/>
  </w:style>
  <w:style w:type="character" w:customStyle="1" w:styleId="WW8NumSt7z0">
    <w:name w:val="WW8NumSt7z0"/>
    <w:rsid w:val="004F3C7F"/>
  </w:style>
  <w:style w:type="character" w:customStyle="1" w:styleId="WW8NumSt8z0">
    <w:name w:val="WW8NumSt8z0"/>
    <w:rsid w:val="004F3C7F"/>
  </w:style>
  <w:style w:type="character" w:customStyle="1" w:styleId="WW8NumSt9z0">
    <w:name w:val="WW8NumSt9z0"/>
    <w:rsid w:val="004F3C7F"/>
  </w:style>
  <w:style w:type="character" w:customStyle="1" w:styleId="WW8NumSt10z0">
    <w:name w:val="WW8NumSt10z0"/>
    <w:rsid w:val="004F3C7F"/>
  </w:style>
  <w:style w:type="character" w:customStyle="1" w:styleId="WW8NumSt11z0">
    <w:name w:val="WW8NumSt11z0"/>
    <w:rsid w:val="004F3C7F"/>
  </w:style>
  <w:style w:type="character" w:customStyle="1" w:styleId="WW8NumSt12z0">
    <w:name w:val="WW8NumSt12z0"/>
    <w:rsid w:val="004F3C7F"/>
  </w:style>
  <w:style w:type="character" w:customStyle="1" w:styleId="WW8NumSt13z0">
    <w:name w:val="WW8NumSt13z0"/>
    <w:rsid w:val="004F3C7F"/>
  </w:style>
  <w:style w:type="character" w:customStyle="1" w:styleId="WW8NumSt14z0">
    <w:name w:val="WW8NumSt14z0"/>
    <w:rsid w:val="004F3C7F"/>
  </w:style>
  <w:style w:type="character" w:customStyle="1" w:styleId="Policepardfaut1">
    <w:name w:val="Police par défaut1"/>
    <w:rsid w:val="004F3C7F"/>
  </w:style>
  <w:style w:type="character" w:styleId="Accentuation">
    <w:name w:val="Emphasis"/>
    <w:qFormat/>
    <w:rsid w:val="004F3C7F"/>
  </w:style>
  <w:style w:type="character" w:customStyle="1" w:styleId="Poste">
    <w:name w:val="Poste"/>
    <w:basedOn w:val="Policepardfaut1"/>
    <w:rsid w:val="004F3C7F"/>
  </w:style>
  <w:style w:type="character" w:customStyle="1" w:styleId="PrambuleAccentuation">
    <w:name w:val="Préambule (Accentuation)"/>
    <w:rsid w:val="004F3C7F"/>
  </w:style>
  <w:style w:type="character" w:styleId="Numrodepage">
    <w:name w:val="page number"/>
    <w:rsid w:val="004F3C7F"/>
  </w:style>
  <w:style w:type="character" w:customStyle="1" w:styleId="Puces">
    <w:name w:val="Puces"/>
    <w:rsid w:val="004F3C7F"/>
  </w:style>
  <w:style w:type="paragraph" w:customStyle="1" w:styleId="Titre20">
    <w:name w:val="Titre2"/>
    <w:basedOn w:val="Normal"/>
    <w:next w:val="Corpsdetexte"/>
    <w:rsid w:val="004F3C7F"/>
    <w:pPr>
      <w:keepNext/>
      <w:spacing w:before="240" w:after="120"/>
    </w:pPr>
  </w:style>
  <w:style w:type="paragraph" w:styleId="Corpsdetexte">
    <w:name w:val="Body Text"/>
    <w:basedOn w:val="Normal"/>
    <w:rsid w:val="004F3C7F"/>
    <w:pPr>
      <w:spacing w:after="220" w:line="220" w:lineRule="atLeast"/>
      <w:jc w:val="both"/>
    </w:pPr>
    <w:rPr>
      <w:spacing w:val="-5"/>
    </w:rPr>
  </w:style>
  <w:style w:type="paragraph" w:styleId="Liste">
    <w:name w:val="List"/>
    <w:basedOn w:val="Corpsdetexte"/>
    <w:rsid w:val="004F3C7F"/>
  </w:style>
  <w:style w:type="paragraph" w:customStyle="1" w:styleId="Lgende2">
    <w:name w:val="Légende2"/>
    <w:basedOn w:val="Normal"/>
    <w:rsid w:val="004F3C7F"/>
    <w:pPr>
      <w:suppressLineNumbers/>
      <w:spacing w:before="120" w:after="120"/>
    </w:pPr>
  </w:style>
  <w:style w:type="paragraph" w:customStyle="1" w:styleId="Index">
    <w:name w:val="Index"/>
    <w:basedOn w:val="Normal"/>
    <w:rsid w:val="004F3C7F"/>
    <w:pPr>
      <w:suppressLineNumbers/>
    </w:pPr>
  </w:style>
  <w:style w:type="paragraph" w:customStyle="1" w:styleId="TitreBase">
    <w:name w:val="Titre Base"/>
    <w:basedOn w:val="Corpsdetexte"/>
    <w:next w:val="Corpsdetexte"/>
    <w:rsid w:val="004F3C7F"/>
    <w:pPr>
      <w:keepNext/>
      <w:keepLines/>
      <w:spacing w:after="0"/>
    </w:pPr>
  </w:style>
  <w:style w:type="paragraph" w:customStyle="1" w:styleId="Titre10">
    <w:name w:val="Titre1"/>
    <w:basedOn w:val="Normal"/>
    <w:next w:val="Corpsdetexte"/>
    <w:rsid w:val="004F3C7F"/>
    <w:pPr>
      <w:keepNext/>
      <w:spacing w:before="240" w:after="120"/>
    </w:pPr>
  </w:style>
  <w:style w:type="paragraph" w:customStyle="1" w:styleId="Lgende1">
    <w:name w:val="Légende1"/>
    <w:basedOn w:val="Normal"/>
    <w:rsid w:val="004F3C7F"/>
    <w:pPr>
      <w:suppressLineNumbers/>
      <w:spacing w:before="120" w:after="120"/>
    </w:pPr>
  </w:style>
  <w:style w:type="paragraph" w:customStyle="1" w:styleId="Russite">
    <w:name w:val="Réussite"/>
    <w:basedOn w:val="Corpsdetexte"/>
    <w:rsid w:val="004F3C7F"/>
    <w:pPr>
      <w:numPr>
        <w:numId w:val="5"/>
      </w:numPr>
      <w:spacing w:after="60"/>
    </w:pPr>
  </w:style>
  <w:style w:type="paragraph" w:customStyle="1" w:styleId="Adresse1">
    <w:name w:val="Adresse 1"/>
    <w:basedOn w:val="Normal"/>
    <w:rsid w:val="004F3C7F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rsid w:val="004F3C7F"/>
    <w:pPr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rsid w:val="004F3C7F"/>
    <w:pPr>
      <w:ind w:left="720"/>
    </w:pPr>
  </w:style>
  <w:style w:type="paragraph" w:customStyle="1" w:styleId="VillePays">
    <w:name w:val="Ville/Pays"/>
    <w:basedOn w:val="Corpsdetexte"/>
    <w:next w:val="Corpsdetexte"/>
    <w:rsid w:val="004F3C7F"/>
    <w:pPr>
      <w:keepNext/>
    </w:pPr>
  </w:style>
  <w:style w:type="paragraph" w:customStyle="1" w:styleId="Nomdesocit">
    <w:name w:val="Nom de société"/>
    <w:basedOn w:val="Normal"/>
    <w:next w:val="Normal"/>
    <w:rsid w:val="004F3C7F"/>
    <w:rPr>
      <w:b/>
    </w:rPr>
  </w:style>
  <w:style w:type="paragraph" w:customStyle="1" w:styleId="NomdesocitUn">
    <w:name w:val="Nom de société Un"/>
    <w:basedOn w:val="Nomdesocit"/>
    <w:next w:val="Normal"/>
    <w:rsid w:val="004F3C7F"/>
  </w:style>
  <w:style w:type="paragraph" w:customStyle="1" w:styleId="Date1">
    <w:name w:val="Date1"/>
    <w:basedOn w:val="Corpsdetexte"/>
    <w:rsid w:val="004F3C7F"/>
    <w:pPr>
      <w:keepNext/>
    </w:pPr>
  </w:style>
  <w:style w:type="paragraph" w:customStyle="1" w:styleId="tiquettededocument">
    <w:name w:val="Étiquette de document"/>
    <w:basedOn w:val="Normal"/>
    <w:next w:val="Normal"/>
    <w:rsid w:val="004F3C7F"/>
    <w:pPr>
      <w:spacing w:after="220"/>
      <w:jc w:val="both"/>
    </w:pPr>
  </w:style>
  <w:style w:type="paragraph" w:customStyle="1" w:styleId="En-tteBase">
    <w:name w:val="En-tête (Base)"/>
    <w:basedOn w:val="Normal"/>
    <w:rsid w:val="004F3C7F"/>
    <w:pPr>
      <w:jc w:val="both"/>
    </w:pPr>
  </w:style>
  <w:style w:type="paragraph" w:styleId="Pieddepage">
    <w:name w:val="footer"/>
    <w:basedOn w:val="En-tteBase"/>
    <w:rsid w:val="004F3C7F"/>
    <w:pPr>
      <w:tabs>
        <w:tab w:val="right" w:pos="6840"/>
      </w:tabs>
      <w:spacing w:line="220" w:lineRule="atLeast"/>
      <w:ind w:left="-2160"/>
    </w:pPr>
  </w:style>
  <w:style w:type="paragraph" w:styleId="En-tte">
    <w:name w:val="header"/>
    <w:basedOn w:val="En-tteBase"/>
    <w:rsid w:val="004F3C7F"/>
    <w:pPr>
      <w:spacing w:line="220" w:lineRule="atLeast"/>
      <w:ind w:left="-2160"/>
    </w:pPr>
  </w:style>
  <w:style w:type="paragraph" w:customStyle="1" w:styleId="Organisme">
    <w:name w:val="Organisme"/>
    <w:basedOn w:val="Normal"/>
    <w:next w:val="Russite"/>
    <w:rsid w:val="004F3C7F"/>
  </w:style>
  <w:style w:type="paragraph" w:customStyle="1" w:styleId="Intitulduposte">
    <w:name w:val="Intitulé du poste"/>
    <w:next w:val="Russite"/>
    <w:rsid w:val="004F3C7F"/>
    <w:pPr>
      <w:suppressAutoHyphens/>
      <w:spacing w:after="60" w:line="220" w:lineRule="atLeast"/>
    </w:pPr>
    <w:rPr>
      <w:lang w:val="fr-FR" w:eastAsia="fr-FR"/>
    </w:rPr>
  </w:style>
  <w:style w:type="paragraph" w:customStyle="1" w:styleId="Nom">
    <w:name w:val="Nom"/>
    <w:basedOn w:val="Normal"/>
    <w:next w:val="Normal"/>
    <w:rsid w:val="004F3C7F"/>
    <w:pPr>
      <w:pBdr>
        <w:bottom w:val="single" w:sz="4" w:space="4" w:color="000000"/>
      </w:pBdr>
      <w:spacing w:after="440" w:line="240" w:lineRule="atLeast"/>
    </w:pPr>
  </w:style>
  <w:style w:type="paragraph" w:customStyle="1" w:styleId="Titredesection">
    <w:name w:val="Titre de section"/>
    <w:basedOn w:val="Normal"/>
    <w:next w:val="Normal"/>
    <w:rsid w:val="004F3C7F"/>
    <w:pPr>
      <w:spacing w:before="220" w:line="220" w:lineRule="atLeast"/>
    </w:pPr>
  </w:style>
  <w:style w:type="paragraph" w:customStyle="1" w:styleId="Pasdetitre">
    <w:name w:val="Pas de titre"/>
    <w:basedOn w:val="Titredesection"/>
    <w:rsid w:val="004F3C7F"/>
  </w:style>
  <w:style w:type="paragraph" w:customStyle="1" w:styleId="Objectifs">
    <w:name w:val="Objectifs"/>
    <w:basedOn w:val="Normal"/>
    <w:next w:val="Corpsdetexte"/>
    <w:rsid w:val="004F3C7F"/>
    <w:pPr>
      <w:spacing w:before="240" w:after="220" w:line="220" w:lineRule="atLeast"/>
    </w:pPr>
  </w:style>
  <w:style w:type="paragraph" w:customStyle="1" w:styleId="Donnespersonnelles">
    <w:name w:val="Données personnelles"/>
    <w:basedOn w:val="Corpsdetexte"/>
    <w:rsid w:val="004F3C7F"/>
    <w:pPr>
      <w:spacing w:after="120" w:line="240" w:lineRule="exact"/>
      <w:ind w:left="-1080" w:right="1080"/>
    </w:pPr>
  </w:style>
  <w:style w:type="paragraph" w:customStyle="1" w:styleId="Informationspersonnelles">
    <w:name w:val="Informations personnelles"/>
    <w:basedOn w:val="Russite"/>
    <w:next w:val="Russite"/>
    <w:rsid w:val="004F3C7F"/>
    <w:pPr>
      <w:numPr>
        <w:numId w:val="0"/>
      </w:num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next w:val="Normal"/>
    <w:rsid w:val="004F3C7F"/>
  </w:style>
  <w:style w:type="paragraph" w:customStyle="1" w:styleId="Corpsdetexte21">
    <w:name w:val="Corps de texte 21"/>
    <w:basedOn w:val="Normal"/>
    <w:rsid w:val="004F3C7F"/>
    <w:rPr>
      <w:color w:val="0000FF"/>
    </w:rPr>
  </w:style>
  <w:style w:type="paragraph" w:customStyle="1" w:styleId="Contenudetableau">
    <w:name w:val="Contenu de tableau"/>
    <w:basedOn w:val="Normal"/>
    <w:rsid w:val="004F3C7F"/>
    <w:pPr>
      <w:suppressLineNumbers/>
    </w:pPr>
  </w:style>
  <w:style w:type="paragraph" w:customStyle="1" w:styleId="Titredetableau">
    <w:name w:val="Titre de tableau"/>
    <w:basedOn w:val="Contenudetableau"/>
    <w:rsid w:val="004F3C7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F3C7F"/>
  </w:style>
  <w:style w:type="paragraph" w:customStyle="1" w:styleId="Paragraphedeliste1">
    <w:name w:val="Paragraphe de liste1"/>
    <w:basedOn w:val="Normal"/>
    <w:rsid w:val="004F3C7F"/>
    <w:pPr>
      <w:ind w:left="720"/>
    </w:pPr>
  </w:style>
  <w:style w:type="paragraph" w:styleId="Paragraphedeliste">
    <w:name w:val="List Paragraph"/>
    <w:basedOn w:val="Normal"/>
    <w:uiPriority w:val="34"/>
    <w:qFormat/>
    <w:rsid w:val="007838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utres%20documents\Assistant%20CV.wiz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CV.wiz</Template>
  <TotalTime>1</TotalTime>
  <Pages>3</Pages>
  <Words>1318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C.V.</dc:title>
  <dc:subject/>
  <dc:creator>sapf</dc:creator>
  <cp:keywords/>
  <cp:lastModifiedBy>thierry.gertsch</cp:lastModifiedBy>
  <cp:revision>15</cp:revision>
  <cp:lastPrinted>2002-02-01T15:21:00Z</cp:lastPrinted>
  <dcterms:created xsi:type="dcterms:W3CDTF">2004-07-18T12:47:00Z</dcterms:created>
  <dcterms:modified xsi:type="dcterms:W3CDTF">2017-03-03T12:46:00Z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ume Post Wizard Balloon">
    <vt:lpwstr>0</vt:lpwstr>
  </property>
  <property fmtid="{D5CDD505-2E9C-101B-9397-08002B2CF9AE}" pid="3" name="iResumeStyle">
    <vt:lpwstr>0</vt:lpwstr>
  </property>
</Properties>
</file>